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84" w:rsidRDefault="00F03D84" w:rsidP="00B46CF1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BIJLAGE </w:t>
      </w:r>
      <w:r w:rsidR="00C05956">
        <w:rPr>
          <w:rFonts w:cs="Arial"/>
          <w:b/>
          <w:bCs/>
          <w:sz w:val="24"/>
        </w:rPr>
        <w:t xml:space="preserve"> </w:t>
      </w:r>
      <w:r w:rsidR="008B7EB9">
        <w:rPr>
          <w:rFonts w:cs="Arial"/>
          <w:b/>
          <w:bCs/>
          <w:sz w:val="24"/>
        </w:rPr>
        <w:t>D</w:t>
      </w:r>
      <w:bookmarkStart w:id="0" w:name="_GoBack"/>
      <w:bookmarkEnd w:id="0"/>
    </w:p>
    <w:p w:rsidR="00B46CF1" w:rsidRPr="009458C5" w:rsidRDefault="00B46CF1" w:rsidP="00B46CF1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9458C5">
        <w:rPr>
          <w:rFonts w:cs="Arial"/>
          <w:b/>
          <w:bCs/>
          <w:sz w:val="24"/>
        </w:rPr>
        <w:t>Reglement Auditcommissie Tiwos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920444" w:rsidRPr="00920444" w:rsidRDefault="00920444" w:rsidP="0092044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20444">
        <w:rPr>
          <w:rFonts w:cs="Arial"/>
          <w:b/>
          <w:bCs/>
          <w:szCs w:val="20"/>
        </w:rPr>
        <w:t>Artik</w:t>
      </w:r>
      <w:r>
        <w:rPr>
          <w:rFonts w:cs="Arial"/>
          <w:b/>
          <w:bCs/>
          <w:szCs w:val="20"/>
        </w:rPr>
        <w:t xml:space="preserve">el 1 </w:t>
      </w:r>
      <w:r>
        <w:rPr>
          <w:rFonts w:cs="Arial"/>
          <w:b/>
          <w:bCs/>
          <w:szCs w:val="20"/>
        </w:rPr>
        <w:tab/>
        <w:t>Doel van de Auditcommissie</w:t>
      </w:r>
    </w:p>
    <w:p w:rsidR="00920444" w:rsidRDefault="00920444" w:rsidP="00920444">
      <w:pPr>
        <w:autoSpaceDE w:val="0"/>
        <w:autoSpaceDN w:val="0"/>
        <w:adjustRightInd w:val="0"/>
        <w:rPr>
          <w:rFonts w:cs="Arial"/>
          <w:szCs w:val="20"/>
        </w:rPr>
      </w:pPr>
    </w:p>
    <w:p w:rsidR="00920444" w:rsidRPr="009D4BCD" w:rsidRDefault="00920444" w:rsidP="009D4BCD">
      <w:pPr>
        <w:autoSpaceDE w:val="0"/>
        <w:autoSpaceDN w:val="0"/>
        <w:adjustRightInd w:val="0"/>
        <w:rPr>
          <w:rFonts w:cs="Arial"/>
          <w:szCs w:val="20"/>
        </w:rPr>
      </w:pPr>
      <w:r w:rsidRPr="009D4BCD">
        <w:rPr>
          <w:rFonts w:cs="Arial"/>
          <w:szCs w:val="20"/>
        </w:rPr>
        <w:t>De Auditcommissie heeft tot doel de Raad van Toezicht haar functie van toezichthoudend orgaan te adviseren en ondersteunen, met specifieke aandachtspunten op het terrein op:</w:t>
      </w:r>
    </w:p>
    <w:p w:rsidR="00920444" w:rsidRPr="00920444" w:rsidRDefault="00920444" w:rsidP="009D4BCD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20444">
        <w:rPr>
          <w:rFonts w:cs="Arial"/>
          <w:szCs w:val="20"/>
        </w:rPr>
        <w:t>Het beoordelen van de interne controle- en risicobeheersingssystemen.</w:t>
      </w:r>
    </w:p>
    <w:p w:rsidR="00920444" w:rsidRPr="00920444" w:rsidRDefault="00920444" w:rsidP="009D4BCD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20444">
        <w:rPr>
          <w:rFonts w:cs="Arial"/>
          <w:szCs w:val="20"/>
        </w:rPr>
        <w:t>De naleving van voorschriften en richtlijnen van relevante externe toezichthoudende</w:t>
      </w:r>
    </w:p>
    <w:p w:rsidR="00920444" w:rsidRPr="00920444" w:rsidRDefault="00920444" w:rsidP="009D4BCD">
      <w:pPr>
        <w:autoSpaceDE w:val="0"/>
        <w:autoSpaceDN w:val="0"/>
        <w:adjustRightInd w:val="0"/>
        <w:ind w:left="426"/>
        <w:rPr>
          <w:rFonts w:cs="Arial"/>
          <w:szCs w:val="20"/>
        </w:rPr>
      </w:pPr>
      <w:r w:rsidRPr="00920444">
        <w:rPr>
          <w:rFonts w:cs="Arial"/>
          <w:szCs w:val="20"/>
        </w:rPr>
        <w:t>instanties en relevante gedragscodes.</w:t>
      </w:r>
    </w:p>
    <w:p w:rsidR="00920444" w:rsidRPr="00920444" w:rsidRDefault="00920444" w:rsidP="009D4BCD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20444">
        <w:rPr>
          <w:rFonts w:cs="Arial"/>
          <w:szCs w:val="20"/>
        </w:rPr>
        <w:t>De controle door en de relatie met de externe accountant.</w:t>
      </w:r>
    </w:p>
    <w:p w:rsidR="00920444" w:rsidRPr="009D4BCD" w:rsidRDefault="00920444" w:rsidP="009D4BCD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D4BCD">
        <w:rPr>
          <w:rFonts w:cs="Arial"/>
          <w:szCs w:val="20"/>
        </w:rPr>
        <w:t>De informatieverschaffing ten behoeve van financiële planning, voortgang en verantwoording</w:t>
      </w:r>
      <w:r w:rsidR="009D4BCD" w:rsidRPr="009D4BCD">
        <w:rPr>
          <w:rFonts w:cs="Arial"/>
          <w:szCs w:val="20"/>
        </w:rPr>
        <w:t xml:space="preserve"> </w:t>
      </w:r>
      <w:r w:rsidRPr="009D4BCD">
        <w:rPr>
          <w:rFonts w:cs="Arial"/>
          <w:szCs w:val="20"/>
        </w:rPr>
        <w:t>van resultaten (zowel intern en extern) en andere aspecten binnen de planning</w:t>
      </w:r>
      <w:r w:rsidR="009D4BCD">
        <w:rPr>
          <w:rFonts w:cs="Arial"/>
          <w:szCs w:val="20"/>
        </w:rPr>
        <w:t xml:space="preserve"> </w:t>
      </w:r>
      <w:r w:rsidRPr="009D4BCD">
        <w:rPr>
          <w:rFonts w:cs="Arial"/>
          <w:szCs w:val="20"/>
        </w:rPr>
        <w:t>-</w:t>
      </w:r>
      <w:r w:rsidR="009D4BCD">
        <w:rPr>
          <w:rFonts w:cs="Arial"/>
          <w:szCs w:val="20"/>
        </w:rPr>
        <w:t xml:space="preserve"> </w:t>
      </w:r>
      <w:r w:rsidRPr="009D4BCD">
        <w:rPr>
          <w:rFonts w:cs="Arial"/>
          <w:szCs w:val="20"/>
        </w:rPr>
        <w:t xml:space="preserve">en </w:t>
      </w:r>
      <w:proofErr w:type="spellStart"/>
      <w:r w:rsidRPr="009D4BCD">
        <w:rPr>
          <w:rFonts w:cs="Arial"/>
          <w:szCs w:val="20"/>
        </w:rPr>
        <w:t>controlcyclus</w:t>
      </w:r>
      <w:proofErr w:type="spellEnd"/>
      <w:r w:rsidRPr="009D4BCD">
        <w:rPr>
          <w:rFonts w:cs="Arial"/>
          <w:szCs w:val="20"/>
        </w:rPr>
        <w:t>.</w:t>
      </w:r>
    </w:p>
    <w:p w:rsidR="00920444" w:rsidRPr="009D4BCD" w:rsidRDefault="00920444" w:rsidP="009D4BCD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D4BCD">
        <w:rPr>
          <w:rFonts w:cs="Arial"/>
          <w:szCs w:val="20"/>
        </w:rPr>
        <w:t xml:space="preserve">De naleving van aanbevelingen en opvolgingen van opmerkingen van </w:t>
      </w:r>
      <w:r w:rsidR="009D4BCD">
        <w:rPr>
          <w:rFonts w:cs="Arial"/>
          <w:szCs w:val="20"/>
        </w:rPr>
        <w:t xml:space="preserve">de </w:t>
      </w:r>
      <w:r w:rsidRPr="009D4BCD">
        <w:rPr>
          <w:rFonts w:cs="Arial"/>
          <w:szCs w:val="20"/>
        </w:rPr>
        <w:t>externe</w:t>
      </w:r>
    </w:p>
    <w:p w:rsidR="00920444" w:rsidRPr="00920444" w:rsidRDefault="009D4BCD" w:rsidP="009D4BCD">
      <w:pPr>
        <w:autoSpaceDE w:val="0"/>
        <w:autoSpaceDN w:val="0"/>
        <w:adjustRightInd w:val="0"/>
        <w:ind w:left="426"/>
        <w:rPr>
          <w:rFonts w:cs="Arial"/>
          <w:szCs w:val="20"/>
        </w:rPr>
      </w:pPr>
      <w:r>
        <w:rPr>
          <w:rFonts w:cs="Arial"/>
          <w:szCs w:val="20"/>
        </w:rPr>
        <w:t>Accountant en Interne controle</w:t>
      </w:r>
    </w:p>
    <w:p w:rsidR="00920444" w:rsidRPr="009D4BCD" w:rsidRDefault="00920444" w:rsidP="009D4BCD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9D4BCD">
        <w:rPr>
          <w:rFonts w:cs="Arial"/>
          <w:szCs w:val="20"/>
        </w:rPr>
        <w:t xml:space="preserve">De financiering van </w:t>
      </w:r>
      <w:r w:rsidR="009D4BCD">
        <w:rPr>
          <w:rFonts w:cs="Arial"/>
          <w:szCs w:val="20"/>
        </w:rPr>
        <w:t xml:space="preserve">de organisatie en de </w:t>
      </w:r>
      <w:proofErr w:type="spellStart"/>
      <w:r w:rsidR="009D4BCD">
        <w:rPr>
          <w:rFonts w:cs="Arial"/>
          <w:szCs w:val="20"/>
        </w:rPr>
        <w:t>treasuryactiviteiten</w:t>
      </w:r>
      <w:proofErr w:type="spellEnd"/>
    </w:p>
    <w:p w:rsidR="009D4BCD" w:rsidRDefault="009D4BCD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9D4BCD" w:rsidRDefault="009D4BCD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B46CF1" w:rsidRDefault="00B46CF1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458C5">
        <w:rPr>
          <w:rFonts w:cs="Arial"/>
          <w:b/>
          <w:bCs/>
          <w:szCs w:val="20"/>
        </w:rPr>
        <w:t xml:space="preserve">Artikel </w:t>
      </w:r>
      <w:r w:rsidR="003072A9">
        <w:rPr>
          <w:rFonts w:cs="Arial"/>
          <w:b/>
          <w:bCs/>
          <w:szCs w:val="20"/>
        </w:rPr>
        <w:t>2</w:t>
      </w:r>
      <w:r w:rsidRPr="009458C5">
        <w:rPr>
          <w:rFonts w:cs="Arial"/>
          <w:b/>
          <w:bCs/>
          <w:szCs w:val="20"/>
        </w:rPr>
        <w:t xml:space="preserve"> </w:t>
      </w:r>
      <w:r w:rsidR="009458C5">
        <w:rPr>
          <w:rFonts w:cs="Arial"/>
          <w:b/>
          <w:bCs/>
          <w:szCs w:val="20"/>
        </w:rPr>
        <w:tab/>
      </w:r>
      <w:r w:rsidRPr="009458C5">
        <w:rPr>
          <w:rFonts w:cs="Arial"/>
          <w:b/>
          <w:bCs/>
          <w:szCs w:val="20"/>
        </w:rPr>
        <w:t>Samenstelling</w:t>
      </w:r>
    </w:p>
    <w:p w:rsidR="009458C5" w:rsidRP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B46CF1" w:rsidRPr="009458C5" w:rsidRDefault="00564919" w:rsidP="00B46CF1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2.</w:t>
      </w:r>
      <w:r w:rsidR="00B46CF1" w:rsidRPr="009458C5">
        <w:rPr>
          <w:rFonts w:cs="Arial"/>
          <w:szCs w:val="20"/>
        </w:rPr>
        <w:t xml:space="preserve">1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 xml:space="preserve">De Auditcommissie bestaat uit tenminste twee leden van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>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Pr="009458C5" w:rsidRDefault="00B46CF1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 w:rsidRPr="009458C5">
        <w:rPr>
          <w:rFonts w:cs="Arial"/>
          <w:szCs w:val="20"/>
        </w:rPr>
        <w:t>2.</w:t>
      </w:r>
      <w:r w:rsidR="00564919">
        <w:rPr>
          <w:rFonts w:cs="Arial"/>
          <w:szCs w:val="20"/>
        </w:rPr>
        <w:t>2</w:t>
      </w:r>
      <w:r w:rsidRPr="009458C5">
        <w:rPr>
          <w:rFonts w:cs="Arial"/>
          <w:szCs w:val="20"/>
        </w:rPr>
        <w:t xml:space="preserve"> </w:t>
      </w:r>
      <w:r w:rsidR="009458C5">
        <w:rPr>
          <w:rFonts w:cs="Arial"/>
          <w:szCs w:val="20"/>
        </w:rPr>
        <w:tab/>
      </w:r>
      <w:r w:rsidRPr="009458C5">
        <w:rPr>
          <w:rFonts w:cs="Arial"/>
          <w:szCs w:val="20"/>
        </w:rPr>
        <w:t xml:space="preserve">De leden van de Auditcommissie worden benoemd en ontslagen door de </w:t>
      </w:r>
      <w:r w:rsidR="009458C5">
        <w:rPr>
          <w:rFonts w:cs="Arial"/>
          <w:szCs w:val="20"/>
        </w:rPr>
        <w:t>Raad van Toezicht</w:t>
      </w:r>
      <w:r w:rsidRPr="009458C5">
        <w:rPr>
          <w:rFonts w:cs="Arial"/>
          <w:szCs w:val="20"/>
        </w:rPr>
        <w:t>.</w:t>
      </w:r>
      <w:r w:rsidR="009458C5">
        <w:rPr>
          <w:rFonts w:cs="Arial"/>
          <w:szCs w:val="20"/>
        </w:rPr>
        <w:t xml:space="preserve"> </w:t>
      </w:r>
      <w:r w:rsidRPr="009458C5">
        <w:rPr>
          <w:rFonts w:cs="Arial"/>
          <w:szCs w:val="20"/>
        </w:rPr>
        <w:t>De benoemingsperiode komt overeen met de zittingstermijn in het rooster van aftreden.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Pr="009458C5" w:rsidRDefault="00564919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2.</w:t>
      </w:r>
      <w:r w:rsidR="00B46CF1" w:rsidRPr="009458C5">
        <w:rPr>
          <w:rFonts w:cs="Arial"/>
          <w:szCs w:val="20"/>
        </w:rPr>
        <w:t xml:space="preserve">3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Auditcommissie wijst uit haar midden een voorzitter aan. Het voorzitterschap van de Auditcommissie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wordt niet vervuld door </w:t>
      </w:r>
      <w:r w:rsidR="009458C5">
        <w:rPr>
          <w:rFonts w:cs="Arial"/>
          <w:szCs w:val="20"/>
        </w:rPr>
        <w:t xml:space="preserve">de voorzitter van de Raad van Toezicht of een </w:t>
      </w:r>
      <w:r w:rsidR="00B46CF1" w:rsidRPr="009458C5">
        <w:rPr>
          <w:rFonts w:cs="Arial"/>
          <w:szCs w:val="20"/>
        </w:rPr>
        <w:t>(voormalig) lid van het bestuur van de woningcorporatie.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Pr="009458C5" w:rsidRDefault="00564919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2.</w:t>
      </w:r>
      <w:r w:rsidR="00B46CF1" w:rsidRPr="009458C5">
        <w:rPr>
          <w:rFonts w:cs="Arial"/>
          <w:szCs w:val="20"/>
        </w:rPr>
        <w:t xml:space="preserve">4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Van de Auditcommissie maakt tenminste een zogenoemd financieel e</w:t>
      </w:r>
      <w:r w:rsidR="009458C5">
        <w:rPr>
          <w:rFonts w:cs="Arial"/>
          <w:szCs w:val="20"/>
        </w:rPr>
        <w:t xml:space="preserve">xpert deel uit, hetgeen inhoudt </w:t>
      </w:r>
      <w:r w:rsidR="00B46CF1" w:rsidRPr="009458C5">
        <w:rPr>
          <w:rFonts w:cs="Arial"/>
          <w:szCs w:val="20"/>
        </w:rPr>
        <w:t>dat deze persoon relevante kennis en ervaring heeft opgedaan in de financiële bedrijfsvoering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bij naar omvang gelijkwaardige rechtspersonen.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06015E" w:rsidRDefault="0006015E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564919" w:rsidRDefault="00564919" w:rsidP="0056491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458C5">
        <w:rPr>
          <w:rFonts w:cs="Arial"/>
          <w:b/>
          <w:bCs/>
          <w:szCs w:val="20"/>
        </w:rPr>
        <w:t xml:space="preserve">Artikel </w:t>
      </w:r>
      <w:r>
        <w:rPr>
          <w:rFonts w:cs="Arial"/>
          <w:b/>
          <w:bCs/>
          <w:szCs w:val="20"/>
        </w:rPr>
        <w:t>3</w:t>
      </w:r>
      <w:r w:rsidRPr="009458C5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ab/>
      </w:r>
      <w:r w:rsidR="005B7EA6">
        <w:rPr>
          <w:rFonts w:cs="Arial"/>
          <w:b/>
          <w:bCs/>
          <w:szCs w:val="20"/>
        </w:rPr>
        <w:t>Taken en bevoegdheden</w:t>
      </w:r>
    </w:p>
    <w:p w:rsidR="00564919" w:rsidRPr="005B7EA6" w:rsidRDefault="00564919" w:rsidP="00564919">
      <w:pPr>
        <w:autoSpaceDE w:val="0"/>
        <w:autoSpaceDN w:val="0"/>
        <w:adjustRightInd w:val="0"/>
        <w:rPr>
          <w:rFonts w:cs="Arial"/>
          <w:bCs/>
          <w:szCs w:val="20"/>
        </w:rPr>
      </w:pPr>
    </w:p>
    <w:p w:rsidR="005B7EA6" w:rsidRPr="005B7EA6" w:rsidRDefault="005B7EA6" w:rsidP="005B7EA6">
      <w:pPr>
        <w:autoSpaceDE w:val="0"/>
        <w:autoSpaceDN w:val="0"/>
        <w:adjustRightInd w:val="0"/>
        <w:rPr>
          <w:rFonts w:cs="Arial"/>
          <w:szCs w:val="20"/>
        </w:rPr>
      </w:pPr>
      <w:r w:rsidRPr="005B7EA6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Auditc</w:t>
      </w:r>
      <w:r w:rsidRPr="005B7EA6">
        <w:rPr>
          <w:rFonts w:cs="Arial"/>
          <w:szCs w:val="20"/>
        </w:rPr>
        <w:t>ommissie</w:t>
      </w:r>
      <w:r>
        <w:rPr>
          <w:rFonts w:cs="Arial"/>
          <w:szCs w:val="20"/>
        </w:rPr>
        <w:t>:</w:t>
      </w:r>
      <w:r w:rsidRPr="005B7EA6">
        <w:rPr>
          <w:rFonts w:cs="Arial"/>
          <w:szCs w:val="20"/>
        </w:rPr>
        <w:t xml:space="preserve"> </w:t>
      </w:r>
    </w:p>
    <w:p w:rsidR="00061D19" w:rsidRPr="00C03820" w:rsidRDefault="00061D19" w:rsidP="00061D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C03820">
        <w:rPr>
          <w:rFonts w:cs="Arial"/>
          <w:szCs w:val="20"/>
        </w:rPr>
        <w:t xml:space="preserve">ereidt binnen haar taakgebied de besluitvorming van de Raad van </w:t>
      </w:r>
      <w:r>
        <w:rPr>
          <w:rFonts w:cs="Arial"/>
          <w:szCs w:val="20"/>
        </w:rPr>
        <w:t xml:space="preserve">Toezicht </w:t>
      </w:r>
      <w:r w:rsidRPr="00C03820">
        <w:rPr>
          <w:rFonts w:cs="Arial"/>
          <w:szCs w:val="20"/>
        </w:rPr>
        <w:t>voor, met dien verstande dat de voltallige Raad</w:t>
      </w:r>
      <w:r>
        <w:rPr>
          <w:rFonts w:cs="Arial"/>
          <w:szCs w:val="20"/>
        </w:rPr>
        <w:t xml:space="preserve"> </w:t>
      </w:r>
      <w:r w:rsidRPr="00C03820">
        <w:rPr>
          <w:rFonts w:cs="Arial"/>
          <w:szCs w:val="20"/>
        </w:rPr>
        <w:t xml:space="preserve">van </w:t>
      </w:r>
      <w:r w:rsidR="008A6E5A">
        <w:rPr>
          <w:rFonts w:cs="Arial"/>
          <w:szCs w:val="20"/>
        </w:rPr>
        <w:t xml:space="preserve">Toezicht </w:t>
      </w:r>
      <w:r w:rsidRPr="00C03820">
        <w:rPr>
          <w:rFonts w:cs="Arial"/>
          <w:szCs w:val="20"/>
        </w:rPr>
        <w:t>collectief verantwoordelijk blijft voor zijn taak.</w:t>
      </w:r>
    </w:p>
    <w:p w:rsidR="00564919" w:rsidRPr="00564919" w:rsidRDefault="005B7EA6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564919" w:rsidRPr="00564919">
        <w:rPr>
          <w:rFonts w:cs="Arial"/>
          <w:szCs w:val="20"/>
        </w:rPr>
        <w:t>dvise</w:t>
      </w:r>
      <w:r>
        <w:rPr>
          <w:rFonts w:cs="Arial"/>
          <w:szCs w:val="20"/>
        </w:rPr>
        <w:t>ert</w:t>
      </w:r>
      <w:r w:rsidR="00564919" w:rsidRPr="00564919">
        <w:rPr>
          <w:rFonts w:cs="Arial"/>
          <w:szCs w:val="20"/>
        </w:rPr>
        <w:t xml:space="preserve"> met betrekking</w:t>
      </w:r>
      <w:r w:rsidR="00061D19">
        <w:rPr>
          <w:rFonts w:cs="Arial"/>
          <w:szCs w:val="20"/>
        </w:rPr>
        <w:t xml:space="preserve"> tot </w:t>
      </w:r>
      <w:proofErr w:type="spellStart"/>
      <w:r w:rsidR="00061D19">
        <w:rPr>
          <w:rFonts w:cs="Arial"/>
          <w:szCs w:val="20"/>
        </w:rPr>
        <w:t>treasury-statuut</w:t>
      </w:r>
      <w:proofErr w:type="spellEnd"/>
      <w:r w:rsidR="00061D19">
        <w:rPr>
          <w:rFonts w:cs="Arial"/>
          <w:szCs w:val="20"/>
        </w:rPr>
        <w:t>, treasury</w:t>
      </w:r>
      <w:r w:rsidR="00564919" w:rsidRPr="00564919">
        <w:rPr>
          <w:rFonts w:cs="Arial"/>
          <w:szCs w:val="20"/>
        </w:rPr>
        <w:t xml:space="preserve"> jaarplan.</w:t>
      </w:r>
    </w:p>
    <w:p w:rsidR="00564919" w:rsidRPr="00564919" w:rsidRDefault="005B7EA6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564919">
        <w:rPr>
          <w:rFonts w:cs="Arial"/>
          <w:szCs w:val="20"/>
        </w:rPr>
        <w:t>A</w:t>
      </w:r>
      <w:r w:rsidR="00564919" w:rsidRPr="00564919">
        <w:rPr>
          <w:rFonts w:cs="Arial"/>
          <w:szCs w:val="20"/>
        </w:rPr>
        <w:t>dvise</w:t>
      </w:r>
      <w:r>
        <w:rPr>
          <w:rFonts w:cs="Arial"/>
          <w:szCs w:val="20"/>
        </w:rPr>
        <w:t>e</w:t>
      </w:r>
      <w:r w:rsidR="00564919" w:rsidRPr="00564919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t </w:t>
      </w:r>
      <w:r w:rsidR="00564919" w:rsidRPr="00564919">
        <w:rPr>
          <w:rFonts w:cs="Arial"/>
          <w:szCs w:val="20"/>
        </w:rPr>
        <w:t>met betrekking tot benoemen accountant en adviseren met betrekking</w:t>
      </w:r>
    </w:p>
    <w:p w:rsidR="00564919" w:rsidRPr="00564919" w:rsidRDefault="00564919" w:rsidP="00564919">
      <w:pPr>
        <w:pStyle w:val="Lijstalinea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564919">
        <w:rPr>
          <w:rFonts w:cs="Arial"/>
          <w:szCs w:val="20"/>
        </w:rPr>
        <w:t>tot het controleplan en de controleopdracht.</w:t>
      </w:r>
    </w:p>
    <w:p w:rsidR="00061D19" w:rsidRPr="00061D19" w:rsidRDefault="005B7EA6" w:rsidP="00061D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564919" w:rsidRPr="00564919">
        <w:rPr>
          <w:rFonts w:cs="Arial"/>
          <w:szCs w:val="20"/>
        </w:rPr>
        <w:t>dvis</w:t>
      </w:r>
      <w:r>
        <w:rPr>
          <w:rFonts w:cs="Arial"/>
          <w:szCs w:val="20"/>
        </w:rPr>
        <w:t>e</w:t>
      </w:r>
      <w:r w:rsidR="00564919" w:rsidRPr="00564919">
        <w:rPr>
          <w:rFonts w:cs="Arial"/>
          <w:szCs w:val="20"/>
        </w:rPr>
        <w:t>er</w:t>
      </w:r>
      <w:r>
        <w:rPr>
          <w:rFonts w:cs="Arial"/>
          <w:szCs w:val="20"/>
        </w:rPr>
        <w:t>t</w:t>
      </w:r>
      <w:r w:rsidR="00564919" w:rsidRPr="00564919">
        <w:rPr>
          <w:rFonts w:cs="Arial"/>
          <w:szCs w:val="20"/>
        </w:rPr>
        <w:t xml:space="preserve"> ten aanzien van het interne</w:t>
      </w:r>
      <w:r w:rsidR="00061D19">
        <w:rPr>
          <w:rFonts w:cs="Arial"/>
          <w:szCs w:val="20"/>
        </w:rPr>
        <w:t>/externe</w:t>
      </w:r>
      <w:r w:rsidR="00564919" w:rsidRPr="00564919">
        <w:rPr>
          <w:rFonts w:cs="Arial"/>
          <w:szCs w:val="20"/>
        </w:rPr>
        <w:t xml:space="preserve"> controleplan.</w:t>
      </w:r>
    </w:p>
    <w:p w:rsidR="00564919" w:rsidRPr="00564919" w:rsidRDefault="005B7EA6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564919" w:rsidRPr="00564919">
        <w:rPr>
          <w:rFonts w:cs="Arial"/>
          <w:szCs w:val="20"/>
        </w:rPr>
        <w:t>dvise</w:t>
      </w:r>
      <w:r>
        <w:rPr>
          <w:rFonts w:cs="Arial"/>
          <w:szCs w:val="20"/>
        </w:rPr>
        <w:t>e</w:t>
      </w:r>
      <w:r w:rsidR="00564919" w:rsidRPr="00564919">
        <w:rPr>
          <w:rFonts w:cs="Arial"/>
          <w:szCs w:val="20"/>
        </w:rPr>
        <w:t>r</w:t>
      </w:r>
      <w:r>
        <w:rPr>
          <w:rFonts w:cs="Arial"/>
          <w:szCs w:val="20"/>
        </w:rPr>
        <w:t>t</w:t>
      </w:r>
      <w:r w:rsidR="00564919" w:rsidRPr="00564919">
        <w:rPr>
          <w:rFonts w:cs="Arial"/>
          <w:szCs w:val="20"/>
        </w:rPr>
        <w:t xml:space="preserve"> ten aanzien van de (</w:t>
      </w:r>
      <w:proofErr w:type="spellStart"/>
      <w:r w:rsidR="00564919" w:rsidRPr="00564919">
        <w:rPr>
          <w:rFonts w:cs="Arial"/>
          <w:szCs w:val="20"/>
        </w:rPr>
        <w:t>meerjaren</w:t>
      </w:r>
      <w:proofErr w:type="spellEnd"/>
      <w:r w:rsidR="00564919" w:rsidRPr="00564919">
        <w:rPr>
          <w:rFonts w:cs="Arial"/>
          <w:szCs w:val="20"/>
        </w:rPr>
        <w:t>)begroting, de jaarrekening en de</w:t>
      </w:r>
    </w:p>
    <w:p w:rsidR="00564919" w:rsidRDefault="00564919" w:rsidP="00564919">
      <w:pPr>
        <w:autoSpaceDE w:val="0"/>
        <w:autoSpaceDN w:val="0"/>
        <w:adjustRightInd w:val="0"/>
        <w:ind w:firstLine="426"/>
        <w:rPr>
          <w:rFonts w:cs="Arial"/>
          <w:szCs w:val="20"/>
        </w:rPr>
      </w:pPr>
      <w:r w:rsidRPr="00564919">
        <w:rPr>
          <w:rFonts w:cs="Arial"/>
          <w:szCs w:val="20"/>
        </w:rPr>
        <w:t>continuïteit van de financiële huishouding.</w:t>
      </w:r>
    </w:p>
    <w:p w:rsidR="005B7EA6" w:rsidRPr="00564919" w:rsidRDefault="005B7EA6" w:rsidP="005B7EA6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Bespreekt </w:t>
      </w:r>
      <w:r w:rsidRPr="00564919">
        <w:rPr>
          <w:rFonts w:cs="Arial"/>
          <w:szCs w:val="20"/>
        </w:rPr>
        <w:t xml:space="preserve">periodiek de voornaamste controle bevindingen van </w:t>
      </w:r>
      <w:r>
        <w:rPr>
          <w:rFonts w:cs="Arial"/>
          <w:szCs w:val="20"/>
        </w:rPr>
        <w:t xml:space="preserve">de </w:t>
      </w:r>
      <w:r w:rsidRPr="00564919">
        <w:rPr>
          <w:rFonts w:cs="Arial"/>
          <w:szCs w:val="20"/>
        </w:rPr>
        <w:t xml:space="preserve">externe </w:t>
      </w:r>
      <w:r>
        <w:rPr>
          <w:rFonts w:cs="Arial"/>
          <w:szCs w:val="20"/>
        </w:rPr>
        <w:t>accountant</w:t>
      </w:r>
      <w:r w:rsidRPr="005649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en bevindingen</w:t>
      </w:r>
      <w:r w:rsidR="008A6E5A">
        <w:rPr>
          <w:rFonts w:cs="Arial"/>
          <w:szCs w:val="20"/>
        </w:rPr>
        <w:t xml:space="preserve"> uit</w:t>
      </w:r>
      <w:r>
        <w:rPr>
          <w:rFonts w:cs="Arial"/>
          <w:szCs w:val="20"/>
        </w:rPr>
        <w:t xml:space="preserve"> interne controle</w:t>
      </w:r>
      <w:r w:rsidRPr="00564919">
        <w:rPr>
          <w:rFonts w:cs="Arial"/>
          <w:szCs w:val="20"/>
        </w:rPr>
        <w:t>.</w:t>
      </w:r>
    </w:p>
    <w:p w:rsidR="00564919" w:rsidRPr="00564919" w:rsidRDefault="00061D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Houdt </w:t>
      </w:r>
      <w:r w:rsidR="00564919" w:rsidRPr="00564919">
        <w:rPr>
          <w:rFonts w:cs="Arial"/>
          <w:szCs w:val="20"/>
        </w:rPr>
        <w:t>toezicht op het naleven van aanbevelingen van de externe accountant</w:t>
      </w:r>
      <w:r w:rsidR="0006015E">
        <w:rPr>
          <w:rFonts w:cs="Arial"/>
          <w:szCs w:val="20"/>
        </w:rPr>
        <w:t xml:space="preserve"> en bevindingen </w:t>
      </w:r>
      <w:r w:rsidR="008A6E5A">
        <w:rPr>
          <w:rFonts w:cs="Arial"/>
          <w:szCs w:val="20"/>
        </w:rPr>
        <w:t xml:space="preserve">uit de </w:t>
      </w:r>
      <w:r w:rsidR="0006015E">
        <w:rPr>
          <w:rFonts w:cs="Arial"/>
          <w:szCs w:val="20"/>
        </w:rPr>
        <w:t>interne controle</w:t>
      </w:r>
      <w:r w:rsidR="00564919" w:rsidRPr="00564919">
        <w:rPr>
          <w:rFonts w:cs="Arial"/>
          <w:szCs w:val="20"/>
        </w:rPr>
        <w:t>.</w:t>
      </w:r>
    </w:p>
    <w:p w:rsidR="00564919" w:rsidRPr="00564919" w:rsidRDefault="00061D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564919" w:rsidRPr="00564919">
        <w:rPr>
          <w:rFonts w:cs="Arial"/>
          <w:szCs w:val="20"/>
        </w:rPr>
        <w:t>value</w:t>
      </w:r>
      <w:r>
        <w:rPr>
          <w:rFonts w:cs="Arial"/>
          <w:szCs w:val="20"/>
        </w:rPr>
        <w:t>e</w:t>
      </w:r>
      <w:r w:rsidR="00564919" w:rsidRPr="00564919">
        <w:rPr>
          <w:rFonts w:cs="Arial"/>
          <w:szCs w:val="20"/>
        </w:rPr>
        <w:t>r</w:t>
      </w:r>
      <w:r>
        <w:rPr>
          <w:rFonts w:cs="Arial"/>
          <w:szCs w:val="20"/>
        </w:rPr>
        <w:t>t h</w:t>
      </w:r>
      <w:r w:rsidR="00564919" w:rsidRPr="00564919">
        <w:rPr>
          <w:rFonts w:cs="Arial"/>
          <w:szCs w:val="20"/>
        </w:rPr>
        <w:t xml:space="preserve">et functioneren van de externe accountant </w:t>
      </w:r>
      <w:r>
        <w:rPr>
          <w:rFonts w:cs="Arial"/>
          <w:szCs w:val="20"/>
        </w:rPr>
        <w:t xml:space="preserve">en houdt </w:t>
      </w:r>
      <w:r w:rsidR="00564919" w:rsidRPr="00564919">
        <w:rPr>
          <w:rFonts w:cs="Arial"/>
          <w:szCs w:val="20"/>
        </w:rPr>
        <w:t>toezicht op de onafhankelijkheid</w:t>
      </w:r>
      <w:r w:rsidR="00564919">
        <w:rPr>
          <w:rFonts w:cs="Arial"/>
          <w:szCs w:val="20"/>
        </w:rPr>
        <w:t xml:space="preserve"> </w:t>
      </w:r>
      <w:r w:rsidR="00564919" w:rsidRPr="00564919">
        <w:rPr>
          <w:rFonts w:cs="Arial"/>
          <w:szCs w:val="20"/>
        </w:rPr>
        <w:t>van de externe accountant.</w:t>
      </w:r>
    </w:p>
    <w:p w:rsidR="00564919" w:rsidRPr="00564919" w:rsidRDefault="00061D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564919" w:rsidRPr="00564919">
        <w:rPr>
          <w:rFonts w:cs="Arial"/>
          <w:szCs w:val="20"/>
        </w:rPr>
        <w:t>oud</w:t>
      </w:r>
      <w:r>
        <w:rPr>
          <w:rFonts w:cs="Arial"/>
          <w:szCs w:val="20"/>
        </w:rPr>
        <w:t xml:space="preserve">t </w:t>
      </w:r>
      <w:r w:rsidR="00564919" w:rsidRPr="00564919">
        <w:rPr>
          <w:rFonts w:cs="Arial"/>
          <w:szCs w:val="20"/>
        </w:rPr>
        <w:t>toezicht op de werking van de risicobeheersings- en interne controlesystemen</w:t>
      </w:r>
      <w:r w:rsidR="00564919">
        <w:rPr>
          <w:rFonts w:cs="Arial"/>
          <w:szCs w:val="20"/>
        </w:rPr>
        <w:t xml:space="preserve"> </w:t>
      </w:r>
      <w:r w:rsidR="00564919" w:rsidRPr="00564919">
        <w:rPr>
          <w:rFonts w:cs="Arial"/>
          <w:szCs w:val="20"/>
        </w:rPr>
        <w:t>van de corporatie.</w:t>
      </w:r>
    </w:p>
    <w:p w:rsidR="00564919" w:rsidRDefault="005649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564919">
        <w:rPr>
          <w:rFonts w:cs="Arial"/>
          <w:szCs w:val="20"/>
        </w:rPr>
        <w:t>Houd</w:t>
      </w:r>
      <w:r w:rsidR="00061D19">
        <w:rPr>
          <w:rFonts w:cs="Arial"/>
          <w:szCs w:val="20"/>
        </w:rPr>
        <w:t xml:space="preserve">t </w:t>
      </w:r>
      <w:r w:rsidRPr="00564919">
        <w:rPr>
          <w:rFonts w:cs="Arial"/>
          <w:szCs w:val="20"/>
        </w:rPr>
        <w:t>toezicht op de naleving van de relevante wet- en regelgeving alsmede</w:t>
      </w:r>
      <w:r>
        <w:rPr>
          <w:rFonts w:cs="Arial"/>
          <w:szCs w:val="20"/>
        </w:rPr>
        <w:t xml:space="preserve"> </w:t>
      </w:r>
      <w:r w:rsidRPr="00564919">
        <w:rPr>
          <w:rFonts w:cs="Arial"/>
          <w:szCs w:val="20"/>
        </w:rPr>
        <w:t>de werking van de gedragscodes.</w:t>
      </w:r>
    </w:p>
    <w:p w:rsidR="00C80C1C" w:rsidRPr="00564919" w:rsidRDefault="00C80C1C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Houdt toezicht op de externe beoordelingen van het WSW en CFV</w:t>
      </w:r>
    </w:p>
    <w:p w:rsidR="00564919" w:rsidRPr="00564919" w:rsidRDefault="005649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564919">
        <w:rPr>
          <w:rFonts w:cs="Arial"/>
          <w:szCs w:val="20"/>
        </w:rPr>
        <w:t>Houd</w:t>
      </w:r>
      <w:r w:rsidR="00061D19">
        <w:rPr>
          <w:rFonts w:cs="Arial"/>
          <w:szCs w:val="20"/>
        </w:rPr>
        <w:t xml:space="preserve">t </w:t>
      </w:r>
      <w:r w:rsidRPr="00564919">
        <w:rPr>
          <w:rFonts w:cs="Arial"/>
          <w:szCs w:val="20"/>
        </w:rPr>
        <w:t>toezicht op de financiële informatieverschaffing door de corporatie, waaronder het toezicht op de toepassing van (nieuwe) accounting principes in de jaarrekening.</w:t>
      </w:r>
    </w:p>
    <w:p w:rsidR="00564919" w:rsidRPr="00564919" w:rsidRDefault="00061D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564919" w:rsidRPr="00564919">
        <w:rPr>
          <w:rFonts w:cs="Arial"/>
          <w:szCs w:val="20"/>
        </w:rPr>
        <w:t>oud</w:t>
      </w:r>
      <w:r>
        <w:rPr>
          <w:rFonts w:cs="Arial"/>
          <w:szCs w:val="20"/>
        </w:rPr>
        <w:t xml:space="preserve">t </w:t>
      </w:r>
      <w:r w:rsidR="00564919" w:rsidRPr="00564919">
        <w:rPr>
          <w:rFonts w:cs="Arial"/>
          <w:szCs w:val="20"/>
        </w:rPr>
        <w:t>toezicht op de toepassingen van de informatie- en communicatietechnologie</w:t>
      </w:r>
      <w:r w:rsidR="00564919">
        <w:rPr>
          <w:rFonts w:cs="Arial"/>
          <w:szCs w:val="20"/>
        </w:rPr>
        <w:t xml:space="preserve"> </w:t>
      </w:r>
      <w:r w:rsidR="00564919" w:rsidRPr="00564919">
        <w:rPr>
          <w:rFonts w:cs="Arial"/>
          <w:szCs w:val="20"/>
        </w:rPr>
        <w:t>(ICT).</w:t>
      </w:r>
    </w:p>
    <w:p w:rsidR="009458C5" w:rsidRPr="00C80C1C" w:rsidRDefault="00061D19" w:rsidP="00564919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cs="Arial"/>
          <w:b/>
          <w:bCs/>
          <w:szCs w:val="20"/>
        </w:rPr>
      </w:pPr>
      <w:r>
        <w:rPr>
          <w:rFonts w:cs="Arial"/>
          <w:szCs w:val="20"/>
        </w:rPr>
        <w:lastRenderedPageBreak/>
        <w:t>I</w:t>
      </w:r>
      <w:r w:rsidR="00564919" w:rsidRPr="00C03820">
        <w:rPr>
          <w:rFonts w:cs="Arial"/>
          <w:szCs w:val="20"/>
        </w:rPr>
        <w:t>s het eerste aanspreekpunt van de externe accountant</w:t>
      </w:r>
      <w:r w:rsidR="00C03820" w:rsidRPr="00C03820">
        <w:rPr>
          <w:rFonts w:cs="Arial"/>
          <w:szCs w:val="20"/>
        </w:rPr>
        <w:t xml:space="preserve"> </w:t>
      </w:r>
      <w:r w:rsidR="00564919" w:rsidRPr="00C03820">
        <w:rPr>
          <w:rFonts w:cs="Arial"/>
          <w:szCs w:val="20"/>
        </w:rPr>
        <w:t>wanneer deze onregelmatigheden constateert in de inhoud van de financiële</w:t>
      </w:r>
      <w:r w:rsidR="00C03820">
        <w:rPr>
          <w:rFonts w:cs="Arial"/>
          <w:szCs w:val="20"/>
        </w:rPr>
        <w:t xml:space="preserve"> </w:t>
      </w:r>
      <w:r w:rsidR="00564919" w:rsidRPr="00C03820">
        <w:rPr>
          <w:rFonts w:cs="Arial"/>
          <w:color w:val="000000"/>
          <w:szCs w:val="20"/>
        </w:rPr>
        <w:t>berichten of in de gevolgde procedures ten behoeve van de financiële verslaggeving.</w:t>
      </w:r>
    </w:p>
    <w:p w:rsidR="00C80C1C" w:rsidRDefault="00C80C1C" w:rsidP="00C80C1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C80C1C" w:rsidRPr="00C80C1C" w:rsidRDefault="00C80C1C" w:rsidP="00C80C1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B46CF1" w:rsidRDefault="00B46CF1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458C5">
        <w:rPr>
          <w:rFonts w:cs="Arial"/>
          <w:b/>
          <w:bCs/>
          <w:szCs w:val="20"/>
        </w:rPr>
        <w:t xml:space="preserve">Artikel </w:t>
      </w:r>
      <w:r w:rsidR="00061D19">
        <w:rPr>
          <w:rFonts w:cs="Arial"/>
          <w:b/>
          <w:bCs/>
          <w:szCs w:val="20"/>
        </w:rPr>
        <w:t>4</w:t>
      </w:r>
      <w:r w:rsidRPr="009458C5">
        <w:rPr>
          <w:rFonts w:cs="Arial"/>
          <w:b/>
          <w:bCs/>
          <w:szCs w:val="20"/>
        </w:rPr>
        <w:t xml:space="preserve"> </w:t>
      </w:r>
      <w:r w:rsidR="0006015E">
        <w:rPr>
          <w:rFonts w:cs="Arial"/>
          <w:b/>
          <w:bCs/>
          <w:szCs w:val="20"/>
        </w:rPr>
        <w:tab/>
      </w:r>
      <w:r w:rsidRPr="009458C5">
        <w:rPr>
          <w:rFonts w:cs="Arial"/>
          <w:b/>
          <w:bCs/>
          <w:szCs w:val="20"/>
        </w:rPr>
        <w:t>Werkwijze</w:t>
      </w:r>
    </w:p>
    <w:p w:rsidR="009458C5" w:rsidRP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B46CF1" w:rsidRPr="009458C5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B46CF1" w:rsidRPr="009458C5">
        <w:rPr>
          <w:rFonts w:cs="Arial"/>
          <w:szCs w:val="20"/>
        </w:rPr>
        <w:t xml:space="preserve">1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Auditcommissie vergadert zo vaak als zij dit noodzakelijk acht, maar in ieder geval ter voorbereiding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op de behandeling in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 xml:space="preserve"> van</w:t>
      </w:r>
    </w:p>
    <w:p w:rsidR="00B46CF1" w:rsidRPr="009458C5" w:rsidRDefault="00B46CF1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  <w:r w:rsidRPr="009458C5">
        <w:rPr>
          <w:rFonts w:cs="Arial"/>
          <w:szCs w:val="20"/>
        </w:rPr>
        <w:t xml:space="preserve">• het </w:t>
      </w:r>
      <w:proofErr w:type="spellStart"/>
      <w:r w:rsidRPr="009458C5">
        <w:rPr>
          <w:rFonts w:cs="Arial"/>
          <w:szCs w:val="20"/>
        </w:rPr>
        <w:t>treasury</w:t>
      </w:r>
      <w:r w:rsidR="00061D19">
        <w:rPr>
          <w:rFonts w:cs="Arial"/>
          <w:szCs w:val="20"/>
        </w:rPr>
        <w:t>-statuut</w:t>
      </w:r>
      <w:proofErr w:type="spellEnd"/>
      <w:r w:rsidRPr="009458C5">
        <w:rPr>
          <w:rFonts w:cs="Arial"/>
          <w:szCs w:val="20"/>
        </w:rPr>
        <w:t xml:space="preserve"> en </w:t>
      </w:r>
      <w:proofErr w:type="spellStart"/>
      <w:r w:rsidRPr="009458C5">
        <w:rPr>
          <w:rFonts w:cs="Arial"/>
          <w:szCs w:val="20"/>
        </w:rPr>
        <w:t>treasuryjaarplan</w:t>
      </w:r>
      <w:proofErr w:type="spellEnd"/>
    </w:p>
    <w:p w:rsidR="00B46CF1" w:rsidRPr="009458C5" w:rsidRDefault="00B46CF1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  <w:r w:rsidRPr="009458C5">
        <w:rPr>
          <w:rFonts w:cs="Arial"/>
          <w:szCs w:val="20"/>
        </w:rPr>
        <w:t>• de jaarrekening</w:t>
      </w:r>
    </w:p>
    <w:p w:rsidR="00B46CF1" w:rsidRPr="009458C5" w:rsidRDefault="00B46CF1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  <w:r w:rsidRPr="009458C5">
        <w:rPr>
          <w:rFonts w:cs="Arial"/>
          <w:szCs w:val="20"/>
        </w:rPr>
        <w:t>• de trimesterrapportages</w:t>
      </w:r>
    </w:p>
    <w:p w:rsidR="00B46CF1" w:rsidRPr="009458C5" w:rsidRDefault="00B46CF1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  <w:r w:rsidRPr="009458C5">
        <w:rPr>
          <w:rFonts w:cs="Arial"/>
          <w:szCs w:val="20"/>
        </w:rPr>
        <w:t xml:space="preserve">• de </w:t>
      </w:r>
      <w:proofErr w:type="spellStart"/>
      <w:r w:rsidR="004A580A">
        <w:rPr>
          <w:rFonts w:cs="Arial"/>
          <w:szCs w:val="20"/>
        </w:rPr>
        <w:t>meerjaren-</w:t>
      </w:r>
      <w:r w:rsidRPr="009458C5">
        <w:rPr>
          <w:rFonts w:cs="Arial"/>
          <w:szCs w:val="20"/>
        </w:rPr>
        <w:t>begroting</w:t>
      </w:r>
      <w:proofErr w:type="spellEnd"/>
    </w:p>
    <w:p w:rsidR="00B46CF1" w:rsidRDefault="00B46CF1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  <w:r w:rsidRPr="009458C5">
        <w:rPr>
          <w:rFonts w:cs="Arial"/>
          <w:szCs w:val="20"/>
        </w:rPr>
        <w:t xml:space="preserve">• </w:t>
      </w:r>
      <w:r w:rsidR="004A580A">
        <w:rPr>
          <w:rFonts w:cs="Arial"/>
          <w:szCs w:val="20"/>
        </w:rPr>
        <w:t>de managementletter</w:t>
      </w:r>
    </w:p>
    <w:p w:rsidR="004A580A" w:rsidRPr="009458C5" w:rsidRDefault="004A580A" w:rsidP="009458C5">
      <w:pPr>
        <w:autoSpaceDE w:val="0"/>
        <w:autoSpaceDN w:val="0"/>
        <w:adjustRightInd w:val="0"/>
        <w:ind w:left="709"/>
        <w:rPr>
          <w:rFonts w:cs="Arial"/>
          <w:szCs w:val="20"/>
        </w:rPr>
      </w:pPr>
    </w:p>
    <w:p w:rsidR="00B46CF1" w:rsidRPr="009458C5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B46CF1" w:rsidRPr="009458C5">
        <w:rPr>
          <w:rFonts w:cs="Arial"/>
          <w:szCs w:val="20"/>
        </w:rPr>
        <w:t xml:space="preserve">2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vergaderingen en daarin te bespreken onderwerpen worden door de Auditcommissie jaarlijks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vooraf vastgelegd en vinden als regel plaats kort voor de </w:t>
      </w:r>
      <w:r w:rsidR="009458C5">
        <w:rPr>
          <w:rFonts w:cs="Arial"/>
          <w:szCs w:val="20"/>
        </w:rPr>
        <w:t>RvT</w:t>
      </w:r>
      <w:r w:rsidR="00B46CF1" w:rsidRPr="009458C5">
        <w:rPr>
          <w:rFonts w:cs="Arial"/>
          <w:szCs w:val="20"/>
        </w:rPr>
        <w:t>-vergadering waarop de betreffende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onderwerpen zijn geagendeerd. De agenda en planning kunnen worden aangevuld dan wel aangepast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met onderwerpen die in de loop van het jaar aan de orde komen. De Auditcommissie vergadert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tussentijds wanneer de Auditcommissie dat nodig acht.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Pr="009458C5" w:rsidRDefault="008A6E5A" w:rsidP="00031AA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B46CF1" w:rsidRPr="009458C5">
        <w:rPr>
          <w:rFonts w:cs="Arial"/>
          <w:szCs w:val="20"/>
        </w:rPr>
        <w:t xml:space="preserve">3 </w:t>
      </w:r>
      <w:r w:rsidR="009458C5">
        <w:rPr>
          <w:rFonts w:cs="Arial"/>
          <w:szCs w:val="20"/>
        </w:rPr>
        <w:tab/>
      </w:r>
      <w:r w:rsidR="001B5C66">
        <w:rPr>
          <w:rFonts w:cs="Arial"/>
          <w:szCs w:val="20"/>
        </w:rPr>
        <w:t xml:space="preserve">De </w:t>
      </w:r>
      <w:r w:rsidR="00031AA5">
        <w:rPr>
          <w:rFonts w:cs="Arial"/>
          <w:szCs w:val="20"/>
        </w:rPr>
        <w:t xml:space="preserve">bestuurder, manager </w:t>
      </w:r>
      <w:proofErr w:type="spellStart"/>
      <w:r w:rsidR="00031AA5">
        <w:rPr>
          <w:rFonts w:cs="Arial"/>
          <w:szCs w:val="20"/>
        </w:rPr>
        <w:t>Financien</w:t>
      </w:r>
      <w:proofErr w:type="spellEnd"/>
      <w:r w:rsidR="00031AA5">
        <w:rPr>
          <w:rFonts w:cs="Arial"/>
          <w:szCs w:val="20"/>
        </w:rPr>
        <w:t xml:space="preserve"> &amp; Informatie en Senior medewerker P&amp;C zijn</w:t>
      </w:r>
      <w:r w:rsidR="00B46CF1" w:rsidRPr="009458C5">
        <w:rPr>
          <w:rFonts w:cs="Arial"/>
          <w:szCs w:val="20"/>
        </w:rPr>
        <w:t xml:space="preserve"> aanwezig bij de vergaderingen van de</w:t>
      </w:r>
      <w:r w:rsidR="00031AA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Auditcommissie, tenzij de Auditcommissie anders heeft bepaald. 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Pr="009458C5" w:rsidRDefault="008A6E5A" w:rsidP="00832F77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B46CF1" w:rsidRPr="009458C5">
        <w:rPr>
          <w:rFonts w:cs="Arial"/>
          <w:szCs w:val="20"/>
        </w:rPr>
        <w:t xml:space="preserve">4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Auditcommissie de externe accountant en/of andere deskundigen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uitnodigen bij de vergaderingen van de Auditcommissie aanwezig te zijn.</w:t>
      </w:r>
      <w:r w:rsidR="00832F77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De externe accountant wordt </w:t>
      </w:r>
      <w:r w:rsidR="003A1367">
        <w:rPr>
          <w:rFonts w:cs="Arial"/>
          <w:szCs w:val="20"/>
        </w:rPr>
        <w:t xml:space="preserve">in ieder geval </w:t>
      </w:r>
      <w:r w:rsidR="00B46CF1" w:rsidRPr="009458C5">
        <w:rPr>
          <w:rFonts w:cs="Arial"/>
          <w:szCs w:val="20"/>
        </w:rPr>
        <w:t>uitgenodigd aanwezig te zijn bij de vergaderingen van de Auditcommissie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waarin de </w:t>
      </w:r>
      <w:r w:rsidR="00832F77">
        <w:rPr>
          <w:rFonts w:cs="Arial"/>
          <w:szCs w:val="20"/>
        </w:rPr>
        <w:t xml:space="preserve">managementletter en de </w:t>
      </w:r>
      <w:r w:rsidR="00B46CF1" w:rsidRPr="009458C5">
        <w:rPr>
          <w:rFonts w:cs="Arial"/>
          <w:szCs w:val="20"/>
        </w:rPr>
        <w:t>jaarrekening worden behandeld.</w:t>
      </w:r>
    </w:p>
    <w:p w:rsidR="003A1367" w:rsidRDefault="003A1367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B46CF1" w:rsidRPr="009458C5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3A1367">
        <w:rPr>
          <w:rFonts w:cs="Arial"/>
          <w:szCs w:val="20"/>
        </w:rPr>
        <w:t>5</w:t>
      </w:r>
      <w:r w:rsidR="00B46CF1" w:rsidRPr="009458C5">
        <w:rPr>
          <w:rFonts w:cs="Arial"/>
          <w:szCs w:val="20"/>
        </w:rPr>
        <w:t xml:space="preserve">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taken en verantwoordelijkheden van de Auditcommissie, het functioneren hiervan en de actualiteit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van het reglement worden jaarlijks door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 xml:space="preserve"> beoordeeld.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3A1367">
        <w:rPr>
          <w:rFonts w:cs="Arial"/>
          <w:szCs w:val="20"/>
        </w:rPr>
        <w:t>6</w:t>
      </w:r>
      <w:r w:rsidR="00B46CF1" w:rsidRPr="009458C5">
        <w:rPr>
          <w:rFonts w:cs="Arial"/>
          <w:szCs w:val="20"/>
        </w:rPr>
        <w:t xml:space="preserve">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 xml:space="preserve">Het bestuur en de Auditcommissie rapporteren jaarlijks afzonderlijk aan de </w:t>
      </w:r>
      <w:r w:rsidR="009458C5">
        <w:rPr>
          <w:rFonts w:cs="Arial"/>
          <w:szCs w:val="20"/>
        </w:rPr>
        <w:t xml:space="preserve">Raad van Toezicht </w:t>
      </w:r>
      <w:r w:rsidR="00B46CF1" w:rsidRPr="009458C5">
        <w:rPr>
          <w:rFonts w:cs="Arial"/>
          <w:szCs w:val="20"/>
        </w:rPr>
        <w:t>over de ontwikkelingen in de relatie met de externe accountant, waaronder in het bijzonder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zijn onafhankelijkheid</w:t>
      </w:r>
      <w:r w:rsidR="003A1367">
        <w:rPr>
          <w:rFonts w:cs="Arial"/>
          <w:szCs w:val="20"/>
        </w:rPr>
        <w:t xml:space="preserve">. </w:t>
      </w:r>
      <w:r w:rsidR="00B46CF1" w:rsidRPr="009458C5">
        <w:rPr>
          <w:rFonts w:cs="Arial"/>
          <w:szCs w:val="20"/>
        </w:rPr>
        <w:t xml:space="preserve"> Mede op grond hiervan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bepaalt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 xml:space="preserve"> zijn benoeming van een externe accountant.</w:t>
      </w:r>
    </w:p>
    <w:p w:rsidR="009458C5" w:rsidRPr="009458C5" w:rsidRDefault="009458C5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B46CF1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3A1367">
        <w:rPr>
          <w:rFonts w:cs="Arial"/>
          <w:szCs w:val="20"/>
        </w:rPr>
        <w:t>7</w:t>
      </w:r>
      <w:r w:rsidR="00B46CF1" w:rsidRPr="009458C5">
        <w:rPr>
          <w:rFonts w:cs="Arial"/>
          <w:szCs w:val="20"/>
        </w:rPr>
        <w:t xml:space="preserve">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Het bestuur en de Auditcommissie maken ieder tenminste eenmaal in de vier jaar een grondige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beoordeling van het functioneren van de externe accountant in de diverse entiteiten en capaciteiten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waarin de externe accountant fungeert. De beoordeling wordt besproken in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>.</w:t>
      </w:r>
    </w:p>
    <w:p w:rsidR="009458C5" w:rsidRDefault="009458C5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9458C5" w:rsidRPr="009458C5" w:rsidRDefault="009458C5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B46CF1" w:rsidRDefault="00B46CF1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9458C5">
        <w:rPr>
          <w:rFonts w:cs="Arial"/>
          <w:b/>
          <w:bCs/>
          <w:szCs w:val="20"/>
        </w:rPr>
        <w:t xml:space="preserve">Artikel </w:t>
      </w:r>
      <w:r w:rsidR="008A6E5A">
        <w:rPr>
          <w:rFonts w:cs="Arial"/>
          <w:b/>
          <w:bCs/>
          <w:szCs w:val="20"/>
        </w:rPr>
        <w:t>5</w:t>
      </w:r>
      <w:r w:rsidRPr="009458C5">
        <w:rPr>
          <w:rFonts w:cs="Arial"/>
          <w:b/>
          <w:bCs/>
          <w:szCs w:val="20"/>
        </w:rPr>
        <w:t xml:space="preserve"> </w:t>
      </w:r>
      <w:r w:rsidR="009458C5">
        <w:rPr>
          <w:rFonts w:cs="Arial"/>
          <w:b/>
          <w:bCs/>
          <w:szCs w:val="20"/>
        </w:rPr>
        <w:tab/>
      </w:r>
      <w:r w:rsidRPr="009458C5">
        <w:rPr>
          <w:rFonts w:cs="Arial"/>
          <w:b/>
          <w:bCs/>
          <w:szCs w:val="20"/>
        </w:rPr>
        <w:t>Wijze van rapporteren</w:t>
      </w:r>
    </w:p>
    <w:p w:rsidR="009458C5" w:rsidRPr="009458C5" w:rsidRDefault="009458C5" w:rsidP="00B46CF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B46CF1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B46CF1" w:rsidRPr="009458C5">
        <w:rPr>
          <w:rFonts w:cs="Arial"/>
          <w:szCs w:val="20"/>
        </w:rPr>
        <w:t xml:space="preserve">1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 xml:space="preserve">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 xml:space="preserve"> ontvangt van de Auditcommissie een</w:t>
      </w:r>
      <w:r w:rsidR="003A1367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verslag van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de </w:t>
      </w:r>
      <w:r w:rsidR="003A1367">
        <w:rPr>
          <w:rFonts w:cs="Arial"/>
          <w:szCs w:val="20"/>
        </w:rPr>
        <w:t xml:space="preserve">vergaderingen </w:t>
      </w:r>
      <w:r w:rsidR="00B46CF1" w:rsidRPr="009458C5">
        <w:rPr>
          <w:rFonts w:cs="Arial"/>
          <w:szCs w:val="20"/>
        </w:rPr>
        <w:t xml:space="preserve">Deze verslagen worden nog vóór de betreffende </w:t>
      </w:r>
      <w:r w:rsidR="009458C5">
        <w:rPr>
          <w:rFonts w:cs="Arial"/>
          <w:szCs w:val="20"/>
        </w:rPr>
        <w:t>RvT</w:t>
      </w:r>
      <w:r w:rsidR="003A1367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>vergadering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aan de </w:t>
      </w:r>
      <w:r w:rsidR="009458C5">
        <w:rPr>
          <w:rFonts w:cs="Arial"/>
          <w:szCs w:val="20"/>
        </w:rPr>
        <w:t>Raad van Toezicht</w:t>
      </w:r>
      <w:r w:rsidR="00B46CF1" w:rsidRPr="009458C5">
        <w:rPr>
          <w:rFonts w:cs="Arial"/>
          <w:szCs w:val="20"/>
        </w:rPr>
        <w:t xml:space="preserve"> verstrekt.</w:t>
      </w:r>
    </w:p>
    <w:p w:rsidR="009458C5" w:rsidRPr="009458C5" w:rsidRDefault="009458C5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B46CF1" w:rsidRPr="009458C5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B46CF1" w:rsidRPr="009458C5">
        <w:rPr>
          <w:rFonts w:cs="Arial"/>
          <w:szCs w:val="20"/>
        </w:rPr>
        <w:t xml:space="preserve">2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 xml:space="preserve">Het archief van de Auditcommissie is ten allen tijde voor alle leden van de </w:t>
      </w:r>
      <w:r w:rsidR="009458C5">
        <w:rPr>
          <w:rFonts w:cs="Arial"/>
          <w:szCs w:val="20"/>
        </w:rPr>
        <w:t xml:space="preserve">Raad van Toezicht </w:t>
      </w:r>
      <w:r w:rsidR="00B46CF1" w:rsidRPr="009458C5">
        <w:rPr>
          <w:rFonts w:cs="Arial"/>
          <w:szCs w:val="20"/>
        </w:rPr>
        <w:t>toegankelijk.</w:t>
      </w:r>
    </w:p>
    <w:p w:rsidR="009458C5" w:rsidRDefault="009458C5" w:rsidP="00B46CF1">
      <w:pPr>
        <w:autoSpaceDE w:val="0"/>
        <w:autoSpaceDN w:val="0"/>
        <w:adjustRightInd w:val="0"/>
        <w:rPr>
          <w:rFonts w:cs="Arial"/>
          <w:szCs w:val="20"/>
        </w:rPr>
      </w:pPr>
    </w:p>
    <w:p w:rsidR="00B46CF1" w:rsidRDefault="008A6E5A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B46CF1" w:rsidRPr="009458C5">
        <w:rPr>
          <w:rFonts w:cs="Arial"/>
          <w:szCs w:val="20"/>
        </w:rPr>
        <w:t xml:space="preserve">3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De samenstelling van de Auditcommissie, het aantal vergaderingen en de belangrijkste onderwerpen</w:t>
      </w:r>
      <w:r w:rsidR="009458C5">
        <w:rPr>
          <w:rFonts w:cs="Arial"/>
          <w:szCs w:val="20"/>
        </w:rPr>
        <w:t xml:space="preserve"> </w:t>
      </w:r>
      <w:r w:rsidR="00B46CF1" w:rsidRPr="009458C5">
        <w:rPr>
          <w:rFonts w:cs="Arial"/>
          <w:szCs w:val="20"/>
        </w:rPr>
        <w:t xml:space="preserve">die aan de orde zijn gekomen worden gemeld in het verslag van de </w:t>
      </w:r>
      <w:r w:rsidR="009458C5">
        <w:rPr>
          <w:rFonts w:cs="Arial"/>
          <w:szCs w:val="20"/>
        </w:rPr>
        <w:t xml:space="preserve">Raad van Toezicht </w:t>
      </w:r>
      <w:r w:rsidR="00B46CF1" w:rsidRPr="009458C5">
        <w:rPr>
          <w:rFonts w:cs="Arial"/>
          <w:szCs w:val="20"/>
        </w:rPr>
        <w:t>in het jaarverslag.</w:t>
      </w:r>
    </w:p>
    <w:p w:rsidR="009458C5" w:rsidRPr="009458C5" w:rsidRDefault="009458C5" w:rsidP="009458C5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:rsidR="00B46CF1" w:rsidRPr="009458C5" w:rsidRDefault="008A6E5A" w:rsidP="00B46CF1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B46CF1" w:rsidRPr="009458C5">
        <w:rPr>
          <w:rFonts w:cs="Arial"/>
          <w:szCs w:val="20"/>
        </w:rPr>
        <w:t xml:space="preserve">4 </w:t>
      </w:r>
      <w:r w:rsidR="009458C5">
        <w:rPr>
          <w:rFonts w:cs="Arial"/>
          <w:szCs w:val="20"/>
        </w:rPr>
        <w:tab/>
      </w:r>
      <w:r w:rsidR="00B46CF1" w:rsidRPr="009458C5">
        <w:rPr>
          <w:rFonts w:cs="Arial"/>
          <w:szCs w:val="20"/>
        </w:rPr>
        <w:t>Het reglement van de Auditcommissie wordt vermeld op de website van de woningcorporatie.</w:t>
      </w:r>
    </w:p>
    <w:p w:rsidR="00B250B2" w:rsidRPr="009458C5" w:rsidRDefault="00B46CF1" w:rsidP="009458C5">
      <w:pPr>
        <w:autoSpaceDE w:val="0"/>
        <w:autoSpaceDN w:val="0"/>
        <w:adjustRightInd w:val="0"/>
        <w:ind w:left="708"/>
        <w:rPr>
          <w:rFonts w:cs="Arial"/>
          <w:szCs w:val="20"/>
        </w:rPr>
      </w:pPr>
      <w:r w:rsidRPr="009458C5">
        <w:rPr>
          <w:rFonts w:cs="Arial"/>
          <w:szCs w:val="20"/>
        </w:rPr>
        <w:t xml:space="preserve">Vastgesteld en goedgekeurd in de vergadering van de </w:t>
      </w:r>
      <w:r w:rsidR="009458C5">
        <w:rPr>
          <w:rFonts w:cs="Arial"/>
          <w:szCs w:val="20"/>
        </w:rPr>
        <w:t>Raad van Toezicht</w:t>
      </w:r>
      <w:r w:rsidRPr="009458C5">
        <w:rPr>
          <w:rFonts w:cs="Arial"/>
          <w:szCs w:val="20"/>
        </w:rPr>
        <w:t xml:space="preserve"> van </w:t>
      </w:r>
      <w:r w:rsidR="00B718B0">
        <w:rPr>
          <w:rFonts w:cs="Arial"/>
          <w:szCs w:val="20"/>
        </w:rPr>
        <w:t xml:space="preserve">24 november </w:t>
      </w:r>
      <w:r w:rsidR="00F03D84">
        <w:rPr>
          <w:rFonts w:cs="Arial"/>
          <w:szCs w:val="20"/>
        </w:rPr>
        <w:t xml:space="preserve"> 2014</w:t>
      </w:r>
      <w:r w:rsidRPr="009458C5">
        <w:rPr>
          <w:rFonts w:cs="Arial"/>
          <w:szCs w:val="20"/>
        </w:rPr>
        <w:t>.</w:t>
      </w:r>
    </w:p>
    <w:sectPr w:rsidR="00B250B2" w:rsidRPr="009458C5" w:rsidSect="00284ACE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5A" w:rsidRDefault="008A6E5A" w:rsidP="008A6E5A">
      <w:r>
        <w:separator/>
      </w:r>
    </w:p>
  </w:endnote>
  <w:endnote w:type="continuationSeparator" w:id="0">
    <w:p w:rsidR="008A6E5A" w:rsidRDefault="008A6E5A" w:rsidP="008A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479033"/>
      <w:docPartObj>
        <w:docPartGallery w:val="Page Numbers (Bottom of Page)"/>
        <w:docPartUnique/>
      </w:docPartObj>
    </w:sdtPr>
    <w:sdtEndPr/>
    <w:sdtContent>
      <w:p w:rsidR="008A6E5A" w:rsidRDefault="008A6E5A" w:rsidP="008A6E5A">
        <w:pPr>
          <w:pStyle w:val="Voettekst"/>
        </w:pPr>
        <w:r>
          <w:t>5 juni 2014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7EB9">
          <w:rPr>
            <w:noProof/>
          </w:rPr>
          <w:t>1</w:t>
        </w:r>
        <w:r>
          <w:fldChar w:fldCharType="end"/>
        </w:r>
      </w:p>
    </w:sdtContent>
  </w:sdt>
  <w:p w:rsidR="008A6E5A" w:rsidRDefault="008A6E5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5A" w:rsidRDefault="008A6E5A" w:rsidP="008A6E5A">
      <w:r>
        <w:separator/>
      </w:r>
    </w:p>
  </w:footnote>
  <w:footnote w:type="continuationSeparator" w:id="0">
    <w:p w:rsidR="008A6E5A" w:rsidRDefault="008A6E5A" w:rsidP="008A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43B"/>
    <w:multiLevelType w:val="hybridMultilevel"/>
    <w:tmpl w:val="1636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BEC"/>
    <w:multiLevelType w:val="hybridMultilevel"/>
    <w:tmpl w:val="68B8F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B59"/>
    <w:multiLevelType w:val="hybridMultilevel"/>
    <w:tmpl w:val="69A6691C"/>
    <w:lvl w:ilvl="0" w:tplc="B3C6372E">
      <w:start w:val="3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591B"/>
    <w:multiLevelType w:val="hybridMultilevel"/>
    <w:tmpl w:val="8D2EB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838D9"/>
    <w:multiLevelType w:val="hybridMultilevel"/>
    <w:tmpl w:val="5DB2F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340FC"/>
    <w:multiLevelType w:val="hybridMultilevel"/>
    <w:tmpl w:val="E3DE81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1"/>
    <w:rsid w:val="000011E6"/>
    <w:rsid w:val="00025F64"/>
    <w:rsid w:val="00031AA5"/>
    <w:rsid w:val="00041313"/>
    <w:rsid w:val="00054643"/>
    <w:rsid w:val="0006015E"/>
    <w:rsid w:val="00061D19"/>
    <w:rsid w:val="000956EB"/>
    <w:rsid w:val="000A088E"/>
    <w:rsid w:val="000A2DC1"/>
    <w:rsid w:val="000F1873"/>
    <w:rsid w:val="000F2F67"/>
    <w:rsid w:val="000F3FB4"/>
    <w:rsid w:val="000F525F"/>
    <w:rsid w:val="00104884"/>
    <w:rsid w:val="0012485B"/>
    <w:rsid w:val="001334AA"/>
    <w:rsid w:val="00134408"/>
    <w:rsid w:val="0014572C"/>
    <w:rsid w:val="0014632C"/>
    <w:rsid w:val="00173526"/>
    <w:rsid w:val="00186441"/>
    <w:rsid w:val="001879C2"/>
    <w:rsid w:val="00197668"/>
    <w:rsid w:val="001B5C66"/>
    <w:rsid w:val="001B6513"/>
    <w:rsid w:val="001B741A"/>
    <w:rsid w:val="001B7909"/>
    <w:rsid w:val="001C0CDA"/>
    <w:rsid w:val="001D2C87"/>
    <w:rsid w:val="001E4EB2"/>
    <w:rsid w:val="001F2D39"/>
    <w:rsid w:val="001F336E"/>
    <w:rsid w:val="002138E0"/>
    <w:rsid w:val="00224E21"/>
    <w:rsid w:val="002305D9"/>
    <w:rsid w:val="00243361"/>
    <w:rsid w:val="002446D3"/>
    <w:rsid w:val="00250AD2"/>
    <w:rsid w:val="002529C8"/>
    <w:rsid w:val="00261252"/>
    <w:rsid w:val="00284169"/>
    <w:rsid w:val="00284ACE"/>
    <w:rsid w:val="0028730C"/>
    <w:rsid w:val="002B4CD8"/>
    <w:rsid w:val="002E1438"/>
    <w:rsid w:val="003044EE"/>
    <w:rsid w:val="003072A9"/>
    <w:rsid w:val="003136CC"/>
    <w:rsid w:val="00317F4E"/>
    <w:rsid w:val="00323ACE"/>
    <w:rsid w:val="00325437"/>
    <w:rsid w:val="00330379"/>
    <w:rsid w:val="00351941"/>
    <w:rsid w:val="00361E80"/>
    <w:rsid w:val="00384760"/>
    <w:rsid w:val="0039183D"/>
    <w:rsid w:val="003A1367"/>
    <w:rsid w:val="003A2FDD"/>
    <w:rsid w:val="00413779"/>
    <w:rsid w:val="00417CD3"/>
    <w:rsid w:val="004448C8"/>
    <w:rsid w:val="00447821"/>
    <w:rsid w:val="00486140"/>
    <w:rsid w:val="0049683A"/>
    <w:rsid w:val="004A580A"/>
    <w:rsid w:val="004C0583"/>
    <w:rsid w:val="004C5E56"/>
    <w:rsid w:val="004D6052"/>
    <w:rsid w:val="004E2D50"/>
    <w:rsid w:val="004F29F7"/>
    <w:rsid w:val="005322B0"/>
    <w:rsid w:val="0054780A"/>
    <w:rsid w:val="00564919"/>
    <w:rsid w:val="00571997"/>
    <w:rsid w:val="005740CC"/>
    <w:rsid w:val="005929C4"/>
    <w:rsid w:val="0059796F"/>
    <w:rsid w:val="005B7EA6"/>
    <w:rsid w:val="005D1610"/>
    <w:rsid w:val="005D4E5D"/>
    <w:rsid w:val="005E3AFA"/>
    <w:rsid w:val="005E7260"/>
    <w:rsid w:val="005F029A"/>
    <w:rsid w:val="00600B51"/>
    <w:rsid w:val="00613078"/>
    <w:rsid w:val="00621B4E"/>
    <w:rsid w:val="00670324"/>
    <w:rsid w:val="00680325"/>
    <w:rsid w:val="006834F8"/>
    <w:rsid w:val="00690141"/>
    <w:rsid w:val="0069653E"/>
    <w:rsid w:val="00696CED"/>
    <w:rsid w:val="006A1557"/>
    <w:rsid w:val="006A3572"/>
    <w:rsid w:val="006A4116"/>
    <w:rsid w:val="006B03B4"/>
    <w:rsid w:val="006C0A4B"/>
    <w:rsid w:val="006C6D54"/>
    <w:rsid w:val="006D695B"/>
    <w:rsid w:val="006E2BEF"/>
    <w:rsid w:val="006E77A7"/>
    <w:rsid w:val="00700A7E"/>
    <w:rsid w:val="00722972"/>
    <w:rsid w:val="00727F8B"/>
    <w:rsid w:val="007307FF"/>
    <w:rsid w:val="007467F5"/>
    <w:rsid w:val="00753885"/>
    <w:rsid w:val="00763110"/>
    <w:rsid w:val="007768FB"/>
    <w:rsid w:val="00783BC0"/>
    <w:rsid w:val="007A40D6"/>
    <w:rsid w:val="007B0D91"/>
    <w:rsid w:val="007C5A14"/>
    <w:rsid w:val="00802569"/>
    <w:rsid w:val="008056D1"/>
    <w:rsid w:val="00832090"/>
    <w:rsid w:val="008329F4"/>
    <w:rsid w:val="00832F77"/>
    <w:rsid w:val="00837D03"/>
    <w:rsid w:val="00841852"/>
    <w:rsid w:val="00891ED0"/>
    <w:rsid w:val="008A29FF"/>
    <w:rsid w:val="008A6E5A"/>
    <w:rsid w:val="008B7EB9"/>
    <w:rsid w:val="008D401C"/>
    <w:rsid w:val="008F196B"/>
    <w:rsid w:val="00917CCA"/>
    <w:rsid w:val="00920444"/>
    <w:rsid w:val="0092442C"/>
    <w:rsid w:val="00925D3F"/>
    <w:rsid w:val="009368D1"/>
    <w:rsid w:val="009458C5"/>
    <w:rsid w:val="00971F0F"/>
    <w:rsid w:val="009742C9"/>
    <w:rsid w:val="009845B5"/>
    <w:rsid w:val="009A001F"/>
    <w:rsid w:val="009D4BCD"/>
    <w:rsid w:val="009F1FE7"/>
    <w:rsid w:val="00A02AA3"/>
    <w:rsid w:val="00A0724B"/>
    <w:rsid w:val="00A25DF4"/>
    <w:rsid w:val="00A448E2"/>
    <w:rsid w:val="00A542EF"/>
    <w:rsid w:val="00A6130E"/>
    <w:rsid w:val="00A75DE1"/>
    <w:rsid w:val="00A861AE"/>
    <w:rsid w:val="00AB4C7B"/>
    <w:rsid w:val="00AD4D1D"/>
    <w:rsid w:val="00AE6D90"/>
    <w:rsid w:val="00AE70A5"/>
    <w:rsid w:val="00B17F87"/>
    <w:rsid w:val="00B250B2"/>
    <w:rsid w:val="00B31FDD"/>
    <w:rsid w:val="00B46CF1"/>
    <w:rsid w:val="00B718B0"/>
    <w:rsid w:val="00B722C4"/>
    <w:rsid w:val="00B90163"/>
    <w:rsid w:val="00B97C2F"/>
    <w:rsid w:val="00BB0042"/>
    <w:rsid w:val="00BB5681"/>
    <w:rsid w:val="00BB69FF"/>
    <w:rsid w:val="00BC2B68"/>
    <w:rsid w:val="00BC630F"/>
    <w:rsid w:val="00BD0FB4"/>
    <w:rsid w:val="00C03820"/>
    <w:rsid w:val="00C05956"/>
    <w:rsid w:val="00C127D3"/>
    <w:rsid w:val="00C260A1"/>
    <w:rsid w:val="00C26A08"/>
    <w:rsid w:val="00C40DBE"/>
    <w:rsid w:val="00C67877"/>
    <w:rsid w:val="00C759DA"/>
    <w:rsid w:val="00C80C1C"/>
    <w:rsid w:val="00CB6778"/>
    <w:rsid w:val="00CD6861"/>
    <w:rsid w:val="00CE65AE"/>
    <w:rsid w:val="00D24CC2"/>
    <w:rsid w:val="00D77FDF"/>
    <w:rsid w:val="00D81BA0"/>
    <w:rsid w:val="00D91111"/>
    <w:rsid w:val="00D92B76"/>
    <w:rsid w:val="00D943E9"/>
    <w:rsid w:val="00DD09B6"/>
    <w:rsid w:val="00DD2C51"/>
    <w:rsid w:val="00DE1B60"/>
    <w:rsid w:val="00DE5583"/>
    <w:rsid w:val="00DE77EA"/>
    <w:rsid w:val="00DF6AC2"/>
    <w:rsid w:val="00DF6E47"/>
    <w:rsid w:val="00E01266"/>
    <w:rsid w:val="00E1741C"/>
    <w:rsid w:val="00E235FB"/>
    <w:rsid w:val="00E50305"/>
    <w:rsid w:val="00E573F3"/>
    <w:rsid w:val="00E719ED"/>
    <w:rsid w:val="00E72F98"/>
    <w:rsid w:val="00E753B0"/>
    <w:rsid w:val="00E95253"/>
    <w:rsid w:val="00E97E4F"/>
    <w:rsid w:val="00EA05EE"/>
    <w:rsid w:val="00EA0E44"/>
    <w:rsid w:val="00EA3086"/>
    <w:rsid w:val="00EA4093"/>
    <w:rsid w:val="00EA748B"/>
    <w:rsid w:val="00EB224F"/>
    <w:rsid w:val="00ED3843"/>
    <w:rsid w:val="00ED6EEE"/>
    <w:rsid w:val="00ED7259"/>
    <w:rsid w:val="00EE55BE"/>
    <w:rsid w:val="00EF2032"/>
    <w:rsid w:val="00EF7ABF"/>
    <w:rsid w:val="00F0115A"/>
    <w:rsid w:val="00F03D84"/>
    <w:rsid w:val="00F278C3"/>
    <w:rsid w:val="00F32105"/>
    <w:rsid w:val="00F37D08"/>
    <w:rsid w:val="00F42718"/>
    <w:rsid w:val="00F441B2"/>
    <w:rsid w:val="00F47E0C"/>
    <w:rsid w:val="00FB6AB5"/>
    <w:rsid w:val="00FC1798"/>
    <w:rsid w:val="00FC69A7"/>
    <w:rsid w:val="00FC6A4A"/>
    <w:rsid w:val="00FD01B9"/>
    <w:rsid w:val="00FD09EF"/>
    <w:rsid w:val="00FE58F1"/>
    <w:rsid w:val="00FE6BCE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58C5"/>
    <w:pPr>
      <w:ind w:left="720"/>
      <w:contextualSpacing/>
    </w:pPr>
  </w:style>
  <w:style w:type="paragraph" w:styleId="Koptekst">
    <w:name w:val="header"/>
    <w:basedOn w:val="Standaard"/>
    <w:link w:val="KoptekstChar"/>
    <w:rsid w:val="008A6E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A6E5A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8A6E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6E5A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C059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0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58C5"/>
    <w:pPr>
      <w:ind w:left="720"/>
      <w:contextualSpacing/>
    </w:pPr>
  </w:style>
  <w:style w:type="paragraph" w:styleId="Koptekst">
    <w:name w:val="header"/>
    <w:basedOn w:val="Standaard"/>
    <w:link w:val="KoptekstChar"/>
    <w:rsid w:val="008A6E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A6E5A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8A6E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6E5A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C059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0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8D2DF40A.dotm</Template>
  <TotalTime>4</TotalTime>
  <Pages>2</Pages>
  <Words>861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Tiwos, tilburgse woonstichting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Amendt</dc:creator>
  <cp:lastModifiedBy>Koos Amendt</cp:lastModifiedBy>
  <cp:revision>7</cp:revision>
  <cp:lastPrinted>2014-11-11T09:12:00Z</cp:lastPrinted>
  <dcterms:created xsi:type="dcterms:W3CDTF">2014-11-11T09:06:00Z</dcterms:created>
  <dcterms:modified xsi:type="dcterms:W3CDTF">2016-10-12T12:50:00Z</dcterms:modified>
</cp:coreProperties>
</file>